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9345" w14:textId="77777777" w:rsidR="009A11CF" w:rsidRPr="009A11CF" w:rsidRDefault="009A11CF" w:rsidP="009A11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11CF">
        <w:rPr>
          <w:rFonts w:ascii="Times New Roman" w:eastAsia="Calibri" w:hAnsi="Times New Roman" w:cs="Times New Roman"/>
          <w:sz w:val="28"/>
          <w:szCs w:val="28"/>
        </w:rPr>
        <w:t xml:space="preserve">РЕГИСТРАЦИОННАЯ КАРТА </w:t>
      </w:r>
    </w:p>
    <w:p w14:paraId="29ECF583" w14:textId="02F4FEB4" w:rsidR="009A11CF" w:rsidRDefault="009A11CF" w:rsidP="009A11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11CF">
        <w:rPr>
          <w:rFonts w:ascii="Times New Roman" w:eastAsia="Calibri" w:hAnsi="Times New Roman" w:cs="Times New Roman"/>
          <w:sz w:val="28"/>
          <w:szCs w:val="28"/>
        </w:rPr>
        <w:t>НАУЧНО-ПЕДАГОГИЧЕСКОЙ ШКОЛЫ</w:t>
      </w:r>
      <w:r w:rsidRPr="009A11CF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</w:p>
    <w:p w14:paraId="45EF55CE" w14:textId="209908A2" w:rsidR="006A64BB" w:rsidRPr="006A64BB" w:rsidRDefault="006A64BB" w:rsidP="009A11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4BB">
        <w:rPr>
          <w:rFonts w:ascii="Times New Roman" w:eastAsia="Calibri" w:hAnsi="Times New Roman" w:cs="Times New Roman"/>
          <w:sz w:val="28"/>
          <w:szCs w:val="28"/>
        </w:rPr>
        <w:t xml:space="preserve">«Профессиональное становление педагога в условиях </w:t>
      </w:r>
    </w:p>
    <w:p w14:paraId="2A124D93" w14:textId="66257466" w:rsidR="00853EA5" w:rsidRPr="006A64BB" w:rsidRDefault="006A64BB" w:rsidP="000060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4BB">
        <w:rPr>
          <w:rFonts w:ascii="Times New Roman" w:eastAsia="Calibri" w:hAnsi="Times New Roman" w:cs="Times New Roman"/>
          <w:sz w:val="28"/>
          <w:szCs w:val="28"/>
        </w:rPr>
        <w:t>непрерывного педагогического образования»</w:t>
      </w:r>
    </w:p>
    <w:p w14:paraId="1B36D30D" w14:textId="77777777" w:rsidR="00853EA5" w:rsidRPr="00853EA5" w:rsidRDefault="00853EA5" w:rsidP="000060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14B5A9D" w14:textId="77777777" w:rsidR="00853EA5" w:rsidRPr="00853EA5" w:rsidRDefault="00853EA5" w:rsidP="00006014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245AA9E5" w14:textId="77777777" w:rsidTr="00B34573">
        <w:tc>
          <w:tcPr>
            <w:tcW w:w="5920" w:type="dxa"/>
          </w:tcPr>
          <w:p w14:paraId="62DFF80C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наименование научно-педагогической школы</w:t>
            </w:r>
          </w:p>
        </w:tc>
        <w:tc>
          <w:tcPr>
            <w:tcW w:w="3402" w:type="dxa"/>
          </w:tcPr>
          <w:p w14:paraId="453BDB58" w14:textId="77777777" w:rsidR="00853EA5" w:rsidRPr="002B0FC8" w:rsidRDefault="008025E6" w:rsidP="006A64B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014">
              <w:rPr>
                <w:rFonts w:ascii="pt_sans_caption" w:eastAsia="Times New Roman" w:hAnsi="pt_sans_caption" w:cs="Times New Roman"/>
                <w:color w:val="333333"/>
                <w:sz w:val="28"/>
                <w:szCs w:val="28"/>
                <w:lang w:eastAsia="ru-RU"/>
              </w:rPr>
              <w:t xml:space="preserve">Профессиональное становление </w:t>
            </w:r>
            <w:r w:rsidR="00006014" w:rsidRPr="00006014">
              <w:rPr>
                <w:rFonts w:ascii="pt_sans_caption" w:eastAsia="Times New Roman" w:hAnsi="pt_sans_caption" w:cs="Times New Roman"/>
                <w:color w:val="333333"/>
                <w:sz w:val="28"/>
                <w:szCs w:val="28"/>
                <w:lang w:eastAsia="ru-RU"/>
              </w:rPr>
              <w:t xml:space="preserve">педагога </w:t>
            </w:r>
            <w:r w:rsidRPr="00006014">
              <w:rPr>
                <w:rFonts w:ascii="pt_sans_caption" w:eastAsia="Times New Roman" w:hAnsi="pt_sans_caption" w:cs="Times New Roman"/>
                <w:color w:val="333333"/>
                <w:sz w:val="28"/>
                <w:szCs w:val="28"/>
                <w:lang w:eastAsia="ru-RU"/>
              </w:rPr>
              <w:t>в условиях непрерывного педагогического образования</w:t>
            </w:r>
          </w:p>
        </w:tc>
      </w:tr>
      <w:tr w:rsidR="00853EA5" w:rsidRPr="00853EA5" w14:paraId="69E85DDF" w14:textId="77777777" w:rsidTr="00B34573">
        <w:tc>
          <w:tcPr>
            <w:tcW w:w="5920" w:type="dxa"/>
          </w:tcPr>
          <w:p w14:paraId="45347163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Отрасль науки (научное направление)</w:t>
            </w:r>
          </w:p>
        </w:tc>
        <w:tc>
          <w:tcPr>
            <w:tcW w:w="3402" w:type="dxa"/>
          </w:tcPr>
          <w:p w14:paraId="07EEA97A" w14:textId="77777777" w:rsidR="00853EA5" w:rsidRPr="00853EA5" w:rsidRDefault="002B0FC8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</w:t>
            </w:r>
          </w:p>
        </w:tc>
      </w:tr>
    </w:tbl>
    <w:p w14:paraId="7439074F" w14:textId="77777777" w:rsidR="00853EA5" w:rsidRPr="00853EA5" w:rsidRDefault="00853EA5" w:rsidP="00006014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состав: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1FAA1063" w14:textId="77777777" w:rsidTr="00B34573">
        <w:tc>
          <w:tcPr>
            <w:tcW w:w="5920" w:type="dxa"/>
          </w:tcPr>
          <w:p w14:paraId="4ADA47AD" w14:textId="6710B0F0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коллектива (ФИО, ученая степень, ученое звание, должность)</w:t>
            </w:r>
          </w:p>
        </w:tc>
        <w:tc>
          <w:tcPr>
            <w:tcW w:w="3402" w:type="dxa"/>
          </w:tcPr>
          <w:p w14:paraId="32FC99EE" w14:textId="2A025047" w:rsidR="00853EA5" w:rsidRPr="005413D0" w:rsidRDefault="00E73DC4" w:rsidP="006A64BB">
            <w:pPr>
              <w:tabs>
                <w:tab w:val="left" w:pos="567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Тарантей В.П., доктор педагогических наук, профессор</w:t>
            </w:r>
            <w:r w:rsidR="005A10A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A10A5">
              <w:t xml:space="preserve"> </w:t>
            </w:r>
            <w:r w:rsidR="005A10A5" w:rsidRPr="005A10A5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r w:rsidR="005A10A5" w:rsidRPr="005A10A5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5A10A5" w:rsidRPr="005A10A5">
              <w:rPr>
                <w:rFonts w:ascii="Times New Roman" w:eastAsia="Calibri" w:hAnsi="Times New Roman" w:cs="Times New Roman"/>
                <w:sz w:val="28"/>
                <w:szCs w:val="28"/>
              </w:rPr>
              <w:t>афедр</w:t>
            </w:r>
            <w:r w:rsidR="005A10A5" w:rsidRPr="005A10A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5A10A5" w:rsidRPr="005A1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теории и методики специального образования</w:t>
            </w:r>
          </w:p>
        </w:tc>
      </w:tr>
      <w:tr w:rsidR="00853EA5" w:rsidRPr="00853EA5" w14:paraId="464199FA" w14:textId="77777777" w:rsidTr="00B34573">
        <w:tc>
          <w:tcPr>
            <w:tcW w:w="5920" w:type="dxa"/>
          </w:tcPr>
          <w:p w14:paraId="5A436008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членов коллектива, всего</w:t>
            </w:r>
          </w:p>
        </w:tc>
        <w:tc>
          <w:tcPr>
            <w:tcW w:w="3402" w:type="dxa"/>
          </w:tcPr>
          <w:p w14:paraId="65C80A57" w14:textId="0304CC3A" w:rsidR="00853EA5" w:rsidRPr="003F7595" w:rsidRDefault="00E73DC4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4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3EA5" w:rsidRPr="00853EA5" w14:paraId="4259BE63" w14:textId="77777777" w:rsidTr="00B34573">
        <w:tc>
          <w:tcPr>
            <w:tcW w:w="5920" w:type="dxa"/>
          </w:tcPr>
          <w:p w14:paraId="5DBCD4A6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3036D36D" w14:textId="77777777" w:rsidR="00853EA5" w:rsidRPr="003F759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2D155AB3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7E9A1E0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докторов наук</w:t>
            </w:r>
          </w:p>
        </w:tc>
        <w:tc>
          <w:tcPr>
            <w:tcW w:w="3402" w:type="dxa"/>
          </w:tcPr>
          <w:p w14:paraId="28F3D3E9" w14:textId="77777777" w:rsidR="00853EA5" w:rsidRPr="003F7595" w:rsidRDefault="005413D0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3EA5" w:rsidRPr="00853EA5" w14:paraId="77FF0799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74562B1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кандидатов наук</w:t>
            </w:r>
          </w:p>
        </w:tc>
        <w:tc>
          <w:tcPr>
            <w:tcW w:w="3402" w:type="dxa"/>
          </w:tcPr>
          <w:p w14:paraId="2BE7D5BA" w14:textId="3B5055D8" w:rsidR="00853EA5" w:rsidRPr="003F7595" w:rsidRDefault="006A64BB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4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3EA5" w:rsidRPr="00853EA5" w14:paraId="6F8604A0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DD38048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докторантов и аспирантов</w:t>
            </w:r>
          </w:p>
        </w:tc>
        <w:tc>
          <w:tcPr>
            <w:tcW w:w="3402" w:type="dxa"/>
          </w:tcPr>
          <w:p w14:paraId="008AE4AD" w14:textId="4864B8C3" w:rsidR="009A11CF" w:rsidRPr="003F7595" w:rsidRDefault="009A11CF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(докторант)</w:t>
            </w:r>
          </w:p>
          <w:p w14:paraId="05ECFBD6" w14:textId="5D96E2E2" w:rsidR="00853EA5" w:rsidRPr="003F7595" w:rsidRDefault="009A11CF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(аспиранта)</w:t>
            </w:r>
          </w:p>
        </w:tc>
      </w:tr>
    </w:tbl>
    <w:p w14:paraId="670A3CF8" w14:textId="77777777" w:rsidR="00853EA5" w:rsidRPr="00853EA5" w:rsidRDefault="00853EA5" w:rsidP="00006014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показатели научно-педагогической деятельности за последние 5 лет: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38CE9AE9" w14:textId="77777777" w:rsidTr="00B34573">
        <w:tc>
          <w:tcPr>
            <w:tcW w:w="5920" w:type="dxa"/>
          </w:tcPr>
          <w:p w14:paraId="0ED1E01F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1. Количество защит диссертаций, всего</w:t>
            </w:r>
          </w:p>
        </w:tc>
        <w:tc>
          <w:tcPr>
            <w:tcW w:w="3402" w:type="dxa"/>
          </w:tcPr>
          <w:p w14:paraId="248FB990" w14:textId="7C8C3538" w:rsidR="00853EA5" w:rsidRPr="003F7595" w:rsidRDefault="003F759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3EA5" w:rsidRPr="00853EA5" w14:paraId="44076D0F" w14:textId="77777777" w:rsidTr="00B34573">
        <w:tc>
          <w:tcPr>
            <w:tcW w:w="5920" w:type="dxa"/>
          </w:tcPr>
          <w:p w14:paraId="6919AF10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195DF186" w14:textId="77777777" w:rsidR="00853EA5" w:rsidRPr="003F759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10E91611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6BEFA7F2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докторских</w:t>
            </w:r>
          </w:p>
        </w:tc>
        <w:tc>
          <w:tcPr>
            <w:tcW w:w="3402" w:type="dxa"/>
          </w:tcPr>
          <w:p w14:paraId="640AE466" w14:textId="1117F217" w:rsidR="00853EA5" w:rsidRPr="003F7595" w:rsidRDefault="003F759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3EA5" w:rsidRPr="00853EA5" w14:paraId="425E4A6C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9004B10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кандидатских</w:t>
            </w:r>
          </w:p>
        </w:tc>
        <w:tc>
          <w:tcPr>
            <w:tcW w:w="3402" w:type="dxa"/>
          </w:tcPr>
          <w:p w14:paraId="7B4C8A30" w14:textId="77777777" w:rsidR="00853EA5" w:rsidRPr="003F7595" w:rsidRDefault="005413D0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3EA5" w:rsidRPr="00853EA5" w14:paraId="5DDE74DD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3659FC28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Количество научных публикаций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, всего</w:t>
            </w:r>
          </w:p>
        </w:tc>
        <w:tc>
          <w:tcPr>
            <w:tcW w:w="3402" w:type="dxa"/>
          </w:tcPr>
          <w:p w14:paraId="352B6C17" w14:textId="77777777" w:rsidR="00853EA5" w:rsidRPr="003F7595" w:rsidRDefault="0037302E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53EA5" w:rsidRPr="00853EA5" w14:paraId="4C3A2043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3A361934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4871AE57" w14:textId="77777777" w:rsidR="00853EA5" w:rsidRPr="003F759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34474D48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6CF49051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статей в рецензируемых журналах</w:t>
            </w:r>
          </w:p>
        </w:tc>
        <w:tc>
          <w:tcPr>
            <w:tcW w:w="3402" w:type="dxa"/>
          </w:tcPr>
          <w:p w14:paraId="7D51556E" w14:textId="77777777" w:rsidR="00853EA5" w:rsidRPr="003F7595" w:rsidRDefault="0037302E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853EA5" w:rsidRPr="00853EA5" w14:paraId="110CDC54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2E6C816C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патентов </w:t>
            </w:r>
          </w:p>
        </w:tc>
        <w:tc>
          <w:tcPr>
            <w:tcW w:w="3402" w:type="dxa"/>
          </w:tcPr>
          <w:p w14:paraId="13ADE3E7" w14:textId="77777777" w:rsidR="00853EA5" w:rsidRPr="003F759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7C866381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356D39F7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монографий</w:t>
            </w:r>
          </w:p>
        </w:tc>
        <w:tc>
          <w:tcPr>
            <w:tcW w:w="3402" w:type="dxa"/>
          </w:tcPr>
          <w:p w14:paraId="3A557C17" w14:textId="77777777" w:rsidR="00853EA5" w:rsidRPr="003F7595" w:rsidRDefault="0037302E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3EA5" w:rsidRPr="00853EA5" w14:paraId="34F03311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4AA4544F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учебников и учебных пособий</w:t>
            </w:r>
          </w:p>
        </w:tc>
        <w:tc>
          <w:tcPr>
            <w:tcW w:w="3402" w:type="dxa"/>
          </w:tcPr>
          <w:p w14:paraId="1D432BB3" w14:textId="77777777" w:rsidR="00853EA5" w:rsidRPr="003F7595" w:rsidRDefault="0037302E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3EA5" w:rsidRPr="00853EA5" w14:paraId="467273F8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7DE3E020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Значение 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суммарного индекса Хирша (в базах данных Google Scholar и/или Scopus)</w:t>
            </w:r>
          </w:p>
        </w:tc>
        <w:tc>
          <w:tcPr>
            <w:tcW w:w="3402" w:type="dxa"/>
          </w:tcPr>
          <w:p w14:paraId="2A1A1A5F" w14:textId="77777777" w:rsidR="00853EA5" w:rsidRPr="003F7595" w:rsidRDefault="00006014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5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CA28B1" w:rsidRPr="003F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3EA5" w:rsidRPr="00853EA5" w14:paraId="4A08FE35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2FD7D98C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Количество выполняемых / выполнявшихся проектов финансируемых НИОК(Т)Р, всего</w:t>
            </w:r>
          </w:p>
        </w:tc>
        <w:tc>
          <w:tcPr>
            <w:tcW w:w="3402" w:type="dxa"/>
          </w:tcPr>
          <w:p w14:paraId="06C18B48" w14:textId="59DAC3DC" w:rsidR="00853EA5" w:rsidRPr="00853EA5" w:rsidRDefault="009A11CF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3EA5" w:rsidRPr="00853EA5" w14:paraId="64814F05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60D01CE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4C0B31C6" w14:textId="77777777" w:rsidR="00853EA5" w:rsidRPr="00853EA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24D51750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FC167B4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государственным программам</w:t>
            </w:r>
          </w:p>
        </w:tc>
        <w:tc>
          <w:tcPr>
            <w:tcW w:w="3402" w:type="dxa"/>
          </w:tcPr>
          <w:p w14:paraId="49B44C04" w14:textId="379A5B59" w:rsidR="00853EA5" w:rsidRPr="00853EA5" w:rsidRDefault="009A11CF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357971A3" w14:textId="5906A963" w:rsidR="009A11CF" w:rsidRPr="009A11CF" w:rsidRDefault="009A11CF" w:rsidP="009A11CF">
      <w:pPr>
        <w:pStyle w:val="a5"/>
        <w:rPr>
          <w:rFonts w:ascii="Times New Roman" w:hAnsi="Times New Roman"/>
        </w:rPr>
      </w:pPr>
      <w:r w:rsidRPr="009A11CF">
        <w:rPr>
          <w:rStyle w:val="a7"/>
          <w:rFonts w:ascii="Times New Roman" w:hAnsi="Times New Roman"/>
        </w:rPr>
        <w:footnoteRef/>
      </w:r>
      <w:r w:rsidRPr="009A11CF">
        <w:rPr>
          <w:rFonts w:ascii="Times New Roman" w:hAnsi="Times New Roman"/>
        </w:rPr>
        <w:t xml:space="preserve"> Все данные заполняются за 2020–2025 годы</w:t>
      </w:r>
    </w:p>
    <w:p w14:paraId="0F095255" w14:textId="7978713A" w:rsidR="009A11CF" w:rsidRDefault="009A11CF" w:rsidP="009A11CF">
      <w:pPr>
        <w:pStyle w:val="a5"/>
      </w:pPr>
      <w:r w:rsidRPr="009A11CF">
        <w:rPr>
          <w:rStyle w:val="a7"/>
          <w:rFonts w:ascii="Times New Roman" w:hAnsi="Times New Roman"/>
        </w:rPr>
        <w:t>2</w:t>
      </w:r>
      <w:r w:rsidRPr="009A11CF">
        <w:rPr>
          <w:rFonts w:ascii="Times New Roman" w:hAnsi="Times New Roman"/>
        </w:rPr>
        <w:t xml:space="preserve"> </w:t>
      </w:r>
      <w:r w:rsidRPr="009A11CF">
        <w:rPr>
          <w:rFonts w:ascii="Times New Roman" w:hAnsi="Times New Roman"/>
        </w:rPr>
        <w:t>Приводится</w:t>
      </w:r>
      <w:r w:rsidRPr="00C76D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информация</w:t>
      </w:r>
      <w:r w:rsidRPr="00C76D7B">
        <w:rPr>
          <w:rFonts w:ascii="Times New Roman" w:hAnsi="Times New Roman"/>
        </w:rPr>
        <w:t xml:space="preserve"> по всем членам научно-педагогического коллектива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853EA5" w:rsidRPr="00853EA5" w14:paraId="01FFA5C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1DEC1415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проектам БРФФИ</w:t>
            </w:r>
          </w:p>
        </w:tc>
        <w:tc>
          <w:tcPr>
            <w:tcW w:w="3402" w:type="dxa"/>
          </w:tcPr>
          <w:p w14:paraId="04CB3011" w14:textId="77777777" w:rsidR="00853EA5" w:rsidRPr="00853EA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08B1DE1A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786FC69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хозяйственным договорам с предприятиями и организациями </w:t>
            </w:r>
          </w:p>
        </w:tc>
        <w:tc>
          <w:tcPr>
            <w:tcW w:w="3402" w:type="dxa"/>
          </w:tcPr>
          <w:p w14:paraId="208E286F" w14:textId="29E2B07D" w:rsidR="00853EA5" w:rsidRPr="00853EA5" w:rsidRDefault="003F759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3EA5" w:rsidRPr="00853EA5" w14:paraId="3C6B3B8A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2AA252A1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Количество 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3402" w:type="dxa"/>
          </w:tcPr>
          <w:p w14:paraId="3048B365" w14:textId="78996AB9" w:rsidR="00006014" w:rsidRDefault="003F759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7016F96A" w14:textId="77777777" w:rsidR="00853EA5" w:rsidRPr="00006014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49FEBFF4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78D7E37D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3402" w:type="dxa"/>
          </w:tcPr>
          <w:p w14:paraId="0D3F21C2" w14:textId="77777777" w:rsidR="00853EA5" w:rsidRPr="00853EA5" w:rsidRDefault="00853EA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3EA5" w:rsidRPr="00853EA5" w14:paraId="6BA52241" w14:textId="77777777" w:rsidTr="003F7595">
        <w:trPr>
          <w:trHeight w:val="265"/>
        </w:trPr>
        <w:tc>
          <w:tcPr>
            <w:tcW w:w="5920" w:type="dxa"/>
            <w:vAlign w:val="center"/>
          </w:tcPr>
          <w:p w14:paraId="4D16E17C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международных</w:t>
            </w:r>
          </w:p>
        </w:tc>
        <w:tc>
          <w:tcPr>
            <w:tcW w:w="3402" w:type="dxa"/>
          </w:tcPr>
          <w:p w14:paraId="01D536D4" w14:textId="30A027B4" w:rsidR="00853EA5" w:rsidRPr="00853EA5" w:rsidRDefault="003F7595" w:rsidP="00006014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B3F43A5" w14:textId="77777777" w:rsidR="00853EA5" w:rsidRPr="00853EA5" w:rsidRDefault="00853EA5" w:rsidP="00006014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подготовленных кандидатах и докторах наук: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4253"/>
        <w:gridCol w:w="2126"/>
      </w:tblGrid>
      <w:tr w:rsidR="00853EA5" w:rsidRPr="00853EA5" w14:paraId="66684869" w14:textId="77777777" w:rsidTr="00B34573">
        <w:tc>
          <w:tcPr>
            <w:tcW w:w="817" w:type="dxa"/>
            <w:vAlign w:val="center"/>
          </w:tcPr>
          <w:p w14:paraId="6512C431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14:paraId="1BFD6EEF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  <w:p w14:paraId="64958636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кандидата (доктора) наук</w:t>
            </w:r>
          </w:p>
        </w:tc>
        <w:tc>
          <w:tcPr>
            <w:tcW w:w="4253" w:type="dxa"/>
            <w:vAlign w:val="center"/>
          </w:tcPr>
          <w:p w14:paraId="574AB915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диссертации,</w:t>
            </w:r>
          </w:p>
          <w:p w14:paraId="68AB30F2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отрасль науки,</w:t>
            </w:r>
          </w:p>
          <w:p w14:paraId="0A819759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шифр и название специальности, год присуждения ученой степени</w:t>
            </w:r>
          </w:p>
        </w:tc>
        <w:tc>
          <w:tcPr>
            <w:tcW w:w="2126" w:type="dxa"/>
            <w:vAlign w:val="center"/>
          </w:tcPr>
          <w:p w14:paraId="2897E63C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ФИО научного руководителя (консультанта)</w:t>
            </w:r>
          </w:p>
        </w:tc>
      </w:tr>
      <w:tr w:rsidR="00853EA5" w:rsidRPr="00853EA5" w14:paraId="02A5D366" w14:textId="77777777" w:rsidTr="00B34573">
        <w:tc>
          <w:tcPr>
            <w:tcW w:w="817" w:type="dxa"/>
          </w:tcPr>
          <w:p w14:paraId="49AEE253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52D5F7F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8B560B4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14BC3DC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EA5" w:rsidRPr="00853EA5" w14:paraId="15DA91AC" w14:textId="77777777" w:rsidTr="00B34573">
        <w:tc>
          <w:tcPr>
            <w:tcW w:w="817" w:type="dxa"/>
          </w:tcPr>
          <w:p w14:paraId="2EABA8ED" w14:textId="77777777" w:rsidR="00853EA5" w:rsidRPr="00853EA5" w:rsidRDefault="00C62F63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A7C60C6" w14:textId="01194DD7" w:rsidR="00853EA5" w:rsidRPr="00853EA5" w:rsidRDefault="00094314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21529947"/>
            <w:r w:rsidRPr="00094314">
              <w:rPr>
                <w:rFonts w:ascii="Times New Roman" w:eastAsia="Calibri" w:hAnsi="Times New Roman" w:cs="Times New Roman"/>
                <w:sz w:val="28"/>
                <w:szCs w:val="28"/>
              </w:rPr>
              <w:t>Джух Елен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94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bookmarkEnd w:id="0"/>
          </w:p>
        </w:tc>
        <w:tc>
          <w:tcPr>
            <w:tcW w:w="4253" w:type="dxa"/>
          </w:tcPr>
          <w:p w14:paraId="609939C9" w14:textId="68BF1264" w:rsidR="0037082A" w:rsidRPr="00094314" w:rsidRDefault="00094314" w:rsidP="00006014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094314">
              <w:rPr>
                <w:rFonts w:ascii="Times New Roman" w:eastAsia="Calibri" w:hAnsi="Times New Roman" w:cs="Times New Roman"/>
                <w:b w:val="0"/>
                <w:color w:val="auto"/>
              </w:rPr>
              <w:t>«Формирование социокультурной компетенции студентов языковых специальностей на основе эвристического подхода»</w:t>
            </w:r>
            <w:r w:rsidR="0037082A" w:rsidRPr="00094314">
              <w:rPr>
                <w:rFonts w:ascii="Times New Roman" w:eastAsia="Calibri" w:hAnsi="Times New Roman" w:cs="Times New Roman"/>
                <w:color w:val="auto"/>
              </w:rPr>
              <w:t>,</w:t>
            </w:r>
          </w:p>
          <w:p w14:paraId="59EE17BB" w14:textId="3FFCC9FC" w:rsidR="00853EA5" w:rsidRPr="00853EA5" w:rsidRDefault="00F811EB" w:rsidP="00094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37082A" w:rsidRPr="00094314">
              <w:rPr>
                <w:rFonts w:ascii="Times New Roman" w:eastAsia="Calibri" w:hAnsi="Times New Roman" w:cs="Times New Roman"/>
                <w:sz w:val="28"/>
                <w:szCs w:val="28"/>
              </w:rPr>
              <w:t>андидат</w:t>
            </w:r>
            <w:r w:rsidR="000943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291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  <w:r w:rsidR="0037082A" w:rsidRPr="00370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наук</w:t>
            </w:r>
            <w:r w:rsidR="0037082A">
              <w:rPr>
                <w:rFonts w:ascii="Times New Roman" w:eastAsia="Calibri" w:hAnsi="Times New Roman" w:cs="Times New Roman"/>
                <w:sz w:val="28"/>
                <w:szCs w:val="28"/>
              </w:rPr>
              <w:t>, специальность</w:t>
            </w:r>
            <w:r w:rsidR="0037082A" w:rsidRPr="00370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4314" w:rsidRPr="00094314">
              <w:rPr>
                <w:rFonts w:ascii="Times New Roman" w:eastAsia="Calibri" w:hAnsi="Times New Roman" w:cs="Times New Roman"/>
                <w:sz w:val="28"/>
                <w:szCs w:val="28"/>
              </w:rPr>
              <w:t>13.00.01 – общая педагогика, история педагогики и образования</w:t>
            </w:r>
            <w:r w:rsidR="0037082A">
              <w:rPr>
                <w:rFonts w:ascii="Times New Roman" w:eastAsia="Calibri" w:hAnsi="Times New Roman" w:cs="Times New Roman"/>
                <w:sz w:val="28"/>
                <w:szCs w:val="28"/>
              </w:rPr>
              <w:t>, 20</w:t>
            </w:r>
            <w:r w:rsidR="0009431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14:paraId="1E113993" w14:textId="66180243" w:rsidR="00853EA5" w:rsidRPr="00853EA5" w:rsidRDefault="00094314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Король А</w:t>
            </w:r>
            <w:r w:rsidR="001A291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</w:tc>
      </w:tr>
      <w:tr w:rsidR="00006014" w:rsidRPr="00853EA5" w14:paraId="3AD4A343" w14:textId="77777777" w:rsidTr="00723986">
        <w:tc>
          <w:tcPr>
            <w:tcW w:w="817" w:type="dxa"/>
          </w:tcPr>
          <w:p w14:paraId="7D134215" w14:textId="35CDBEC4" w:rsidR="00006014" w:rsidRDefault="00723986" w:rsidP="0011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6DB0E39" w14:textId="7C9A4DBE" w:rsidR="00006014" w:rsidRPr="00006014" w:rsidRDefault="00094314" w:rsidP="00116F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23986">
              <w:rPr>
                <w:rFonts w:ascii="Times New Roman" w:eastAsia="Calibri" w:hAnsi="Times New Roman" w:cs="Times New Roman"/>
                <w:sz w:val="28"/>
                <w:szCs w:val="28"/>
              </w:rPr>
              <w:t>Капалыгина Ирина Ивановна</w:t>
            </w:r>
          </w:p>
        </w:tc>
        <w:tc>
          <w:tcPr>
            <w:tcW w:w="4253" w:type="dxa"/>
          </w:tcPr>
          <w:p w14:paraId="7CBD7E70" w14:textId="7FC21379" w:rsidR="00006014" w:rsidRPr="001863CC" w:rsidRDefault="00094314" w:rsidP="001863CC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auto"/>
                <w:highlight w:val="yellow"/>
              </w:rPr>
            </w:pPr>
            <w:r w:rsidRPr="00094314">
              <w:rPr>
                <w:rFonts w:ascii="Times New Roman" w:eastAsia="Calibri" w:hAnsi="Times New Roman" w:cs="Times New Roman"/>
                <w:b w:val="0"/>
                <w:color w:val="auto"/>
              </w:rPr>
              <w:t>«Теоретико-методологические основы сохранения здоровья обучающихся в информационно-образовательном пространстве школы»</w:t>
            </w:r>
            <w:r w:rsidR="00F811EB"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, доктор педагогических наук, </w:t>
            </w:r>
            <w:r w:rsidR="00F811EB" w:rsidRPr="00F811EB">
              <w:rPr>
                <w:rFonts w:ascii="Times New Roman" w:eastAsia="Calibri" w:hAnsi="Times New Roman" w:cs="Times New Roman"/>
                <w:b w:val="0"/>
                <w:color w:val="auto"/>
              </w:rPr>
              <w:t>13.00.01 – общая педагогика, история педагогики и образования</w:t>
            </w:r>
            <w:r w:rsidR="00F811EB">
              <w:rPr>
                <w:rFonts w:ascii="Times New Roman" w:eastAsia="Calibri" w:hAnsi="Times New Roman" w:cs="Times New Roman"/>
                <w:b w:val="0"/>
                <w:color w:val="auto"/>
              </w:rPr>
              <w:t>, 2023</w:t>
            </w:r>
          </w:p>
        </w:tc>
        <w:tc>
          <w:tcPr>
            <w:tcW w:w="2126" w:type="dxa"/>
          </w:tcPr>
          <w:p w14:paraId="0CA897CF" w14:textId="17D3DCE3" w:rsidR="00006014" w:rsidRDefault="00F811EB" w:rsidP="00116F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Валошина Л.</w:t>
            </w:r>
            <w:r w:rsidR="00723986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</w:p>
        </w:tc>
      </w:tr>
      <w:tr w:rsidR="00006014" w:rsidRPr="00853EA5" w14:paraId="104814B5" w14:textId="77777777" w:rsidTr="00723986">
        <w:tc>
          <w:tcPr>
            <w:tcW w:w="817" w:type="dxa"/>
          </w:tcPr>
          <w:p w14:paraId="0A880AA0" w14:textId="311C37ED" w:rsidR="00006014" w:rsidRDefault="00723986" w:rsidP="00116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2978C08A" w14:textId="77777777" w:rsidR="00006014" w:rsidRPr="00723986" w:rsidRDefault="00723986" w:rsidP="00116F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986">
              <w:rPr>
                <w:rFonts w:ascii="Times New Roman" w:eastAsia="Calibri" w:hAnsi="Times New Roman" w:cs="Times New Roman"/>
                <w:sz w:val="28"/>
                <w:szCs w:val="28"/>
              </w:rPr>
              <w:t>Крюковская</w:t>
            </w:r>
          </w:p>
          <w:p w14:paraId="200C41F7" w14:textId="127AF2FB" w:rsidR="00723986" w:rsidRPr="00006014" w:rsidRDefault="00723986" w:rsidP="00116F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23986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253" w:type="dxa"/>
          </w:tcPr>
          <w:p w14:paraId="114B7028" w14:textId="4DF615DC" w:rsidR="00006014" w:rsidRPr="001863CC" w:rsidRDefault="00723986" w:rsidP="00723986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auto"/>
                <w:highlight w:val="yellow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</w:rPr>
              <w:t>«</w:t>
            </w:r>
            <w:r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Cистема коррекционно-педагогической работы с учащимися</w:t>
            </w:r>
            <w:r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 </w:t>
            </w:r>
            <w:r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с трудностями в обучении на</w:t>
            </w:r>
            <w:r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 </w:t>
            </w:r>
            <w:r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нейропедагогической основе</w:t>
            </w:r>
            <w:r>
              <w:rPr>
                <w:rFonts w:ascii="Times New Roman" w:eastAsia="Calibri" w:hAnsi="Times New Roman" w:cs="Times New Roman"/>
                <w:b w:val="0"/>
                <w:color w:val="auto"/>
              </w:rPr>
              <w:t>»</w:t>
            </w:r>
            <w:r w:rsidR="001863CC"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,</w:t>
            </w:r>
            <w:r>
              <w:t xml:space="preserve"> </w:t>
            </w:r>
            <w:r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доктор педагогических наук,</w:t>
            </w:r>
            <w:r w:rsidR="001863CC" w:rsidRPr="001863CC">
              <w:rPr>
                <w:rFonts w:ascii="Times New Roman" w:eastAsia="Calibri" w:hAnsi="Times New Roman" w:cs="Times New Roman"/>
                <w:b w:val="0"/>
                <w:color w:val="auto"/>
                <w:highlight w:val="yellow"/>
              </w:rPr>
              <w:t xml:space="preserve"> </w:t>
            </w:r>
            <w:r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13.00.03 – коррекционная педагогика</w:t>
            </w:r>
            <w:r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, </w:t>
            </w:r>
            <w:r w:rsidR="001863CC"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20</w:t>
            </w:r>
            <w:r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>25</w:t>
            </w:r>
            <w:r w:rsidR="001863CC" w:rsidRPr="00723986"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161A76B1" w14:textId="32806A6C" w:rsidR="00006014" w:rsidRDefault="00723986" w:rsidP="00116F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Лисовская Т.В.</w:t>
            </w:r>
          </w:p>
        </w:tc>
      </w:tr>
    </w:tbl>
    <w:p w14:paraId="251231FA" w14:textId="77777777" w:rsidR="00853EA5" w:rsidRPr="00853EA5" w:rsidRDefault="00853EA5" w:rsidP="000060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140EF9" w14:textId="25B304B2" w:rsidR="00853EA5" w:rsidRPr="00853EA5" w:rsidRDefault="00853EA5" w:rsidP="00006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выполняемых (выполненных) проектах </w:t>
      </w:r>
      <w:r w:rsidR="0091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научно-исследовательских проектах:</w:t>
      </w:r>
      <w:r w:rsidR="00D9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55B" w:rsidRPr="00D90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выполнялись в </w:t>
      </w:r>
      <w:r w:rsidR="00D9055B" w:rsidRPr="00D90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2020–2025 годы</w:t>
      </w:r>
      <w:r w:rsidR="00D90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45"/>
        <w:gridCol w:w="1669"/>
        <w:gridCol w:w="2110"/>
        <w:gridCol w:w="1852"/>
      </w:tblGrid>
      <w:tr w:rsidR="00853EA5" w:rsidRPr="00853EA5" w14:paraId="34CD1F7A" w14:textId="77777777" w:rsidTr="00E2040B">
        <w:tc>
          <w:tcPr>
            <w:tcW w:w="572" w:type="dxa"/>
            <w:vAlign w:val="center"/>
          </w:tcPr>
          <w:p w14:paraId="0A8F476B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8" w:type="dxa"/>
            <w:vAlign w:val="center"/>
          </w:tcPr>
          <w:p w14:paraId="35B388FF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582" w:type="dxa"/>
            <w:vAlign w:val="center"/>
          </w:tcPr>
          <w:p w14:paraId="439B7029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114" w:type="dxa"/>
          </w:tcPr>
          <w:p w14:paraId="3D2AA059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госрегистрации </w:t>
            </w:r>
          </w:p>
        </w:tc>
        <w:tc>
          <w:tcPr>
            <w:tcW w:w="1754" w:type="dxa"/>
            <w:vAlign w:val="center"/>
          </w:tcPr>
          <w:p w14:paraId="27564CCD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научного </w:t>
            </w:r>
            <w:r w:rsidRPr="00853E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руководителя</w:t>
            </w:r>
          </w:p>
        </w:tc>
      </w:tr>
      <w:tr w:rsidR="00853EA5" w:rsidRPr="00853EA5" w14:paraId="2700EF7A" w14:textId="77777777" w:rsidTr="00E2040B">
        <w:tc>
          <w:tcPr>
            <w:tcW w:w="572" w:type="dxa"/>
          </w:tcPr>
          <w:p w14:paraId="3C3D5E57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8" w:type="dxa"/>
          </w:tcPr>
          <w:p w14:paraId="19591356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14:paraId="09479B05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1B12BAF4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389AD598" w14:textId="77777777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E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EA5" w:rsidRPr="00853EA5" w14:paraId="0ECC281A" w14:textId="77777777" w:rsidTr="00E2040B">
        <w:tc>
          <w:tcPr>
            <w:tcW w:w="572" w:type="dxa"/>
          </w:tcPr>
          <w:p w14:paraId="69EFEB31" w14:textId="476DC4FA" w:rsidR="00853EA5" w:rsidRPr="00853EA5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58A626F" w14:textId="01CD98DB" w:rsidR="00853EA5" w:rsidRPr="00853EA5" w:rsidRDefault="00853EA5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14:paraId="16494568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13F874B6" w14:textId="77777777" w:rsidR="00853EA5" w:rsidRPr="00853EA5" w:rsidRDefault="00853EA5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3DA219FF" w14:textId="1E38BD94" w:rsidR="00853EA5" w:rsidRPr="00853EA5" w:rsidRDefault="00853EA5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76F85D7" w14:textId="77777777" w:rsidR="00853EA5" w:rsidRPr="00853EA5" w:rsidRDefault="00853EA5" w:rsidP="000060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6E3E15" w14:textId="77777777" w:rsidR="00853EA5" w:rsidRPr="00853EA5" w:rsidRDefault="00853EA5" w:rsidP="000060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наиболее значимых опубликованных</w:t>
      </w:r>
      <w:r w:rsidRPr="00853EA5">
        <w:rPr>
          <w:rFonts w:ascii="Times New Roman" w:eastAsia="Calibri" w:hAnsi="Times New Roman" w:cs="Times New Roman"/>
          <w:b/>
          <w:sz w:val="28"/>
          <w:szCs w:val="28"/>
        </w:rPr>
        <w:t xml:space="preserve"> научных работах: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00"/>
        <w:gridCol w:w="4579"/>
      </w:tblGrid>
      <w:tr w:rsidR="00853EA5" w:rsidRPr="00750B4B" w14:paraId="0A1FDF3E" w14:textId="77777777" w:rsidTr="00D9055B">
        <w:tc>
          <w:tcPr>
            <w:tcW w:w="851" w:type="dxa"/>
            <w:vAlign w:val="center"/>
          </w:tcPr>
          <w:p w14:paraId="1C506F37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4C764AD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006E1692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1A648ABA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1800" w:type="dxa"/>
            <w:vAlign w:val="center"/>
          </w:tcPr>
          <w:p w14:paraId="1E2AB114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Индекс Хирша</w:t>
            </w:r>
          </w:p>
        </w:tc>
        <w:tc>
          <w:tcPr>
            <w:tcW w:w="4579" w:type="dxa"/>
            <w:vAlign w:val="center"/>
          </w:tcPr>
          <w:p w14:paraId="66D81163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Библиографические данные</w:t>
            </w:r>
          </w:p>
        </w:tc>
      </w:tr>
      <w:tr w:rsidR="00853EA5" w:rsidRPr="00750B4B" w14:paraId="32B1BA7E" w14:textId="77777777" w:rsidTr="00D9055B">
        <w:tc>
          <w:tcPr>
            <w:tcW w:w="851" w:type="dxa"/>
          </w:tcPr>
          <w:p w14:paraId="03C40845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27E0221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07247546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9" w:type="dxa"/>
          </w:tcPr>
          <w:p w14:paraId="1CB3A445" w14:textId="77777777" w:rsidR="00853EA5" w:rsidRPr="00750B4B" w:rsidRDefault="00853EA5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3EA5" w:rsidRPr="00750B4B" w14:paraId="3C125854" w14:textId="77777777" w:rsidTr="00D9055B">
        <w:tc>
          <w:tcPr>
            <w:tcW w:w="851" w:type="dxa"/>
          </w:tcPr>
          <w:p w14:paraId="674C3BED" w14:textId="77777777" w:rsidR="00853EA5" w:rsidRPr="00750B4B" w:rsidRDefault="00216C7C" w:rsidP="006C7153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2A3F03A" w14:textId="77777777" w:rsidR="00853EA5" w:rsidRPr="00750B4B" w:rsidRDefault="005C7E7C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Тарантей В.П.</w:t>
            </w:r>
          </w:p>
        </w:tc>
        <w:tc>
          <w:tcPr>
            <w:tcW w:w="1800" w:type="dxa"/>
          </w:tcPr>
          <w:p w14:paraId="1643C7F3" w14:textId="77777777" w:rsidR="00853EA5" w:rsidRPr="00750B4B" w:rsidRDefault="005C7E7C" w:rsidP="00006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9" w:type="dxa"/>
          </w:tcPr>
          <w:p w14:paraId="415A77E4" w14:textId="77777777" w:rsidR="00853EA5" w:rsidRPr="00750B4B" w:rsidRDefault="005C7E7C" w:rsidP="006C7153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clear" w:pos="1069"/>
                <w:tab w:val="num" w:pos="643"/>
              </w:tabs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Таранцей, В. П. Этыка-педагагічная думка Беларусі ў у X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XVIII стагодзях: актуалгенез i пераемнасць развіцця.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Рэц. на кн.: Болбас, В. С. Генезіс і пераемнасць развіцця этыка-педагагічнай 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умкі Беларусі X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XVIII стст. / В.С. Болбас. – Мазыр : МДПУ імя І.П. Шамякіна, 1919. – 228 с. / В. П. Таранцей // Педагогическая наука и образование. – 2020. – № 2. – С. 99–100.</w:t>
            </w:r>
          </w:p>
          <w:p w14:paraId="46B62BA9" w14:textId="77777777" w:rsidR="005C7E7C" w:rsidRPr="00750B4B" w:rsidRDefault="005C7E7C" w:rsidP="006C7153">
            <w:pPr>
              <w:pStyle w:val="a3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clear" w:pos="1069"/>
                <w:tab w:val="num" w:pos="643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Tarantsej, W. P. Ksztalcenie ustawi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czne: nowoczesne koncepcje / W.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 xml:space="preserve">P. Tarantsej // Czas na wychowanie.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Potrzeby – Szanse – Bariery = Time for upbringing. Needs – Chances – Barriers / pod red. B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Piatkowskiej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–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Radom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Instytut Naukowo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Wydawniczy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Spatium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2020. – С. 182</w:t>
            </w:r>
            <w:r w:rsidR="000060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187.</w:t>
            </w:r>
          </w:p>
          <w:p w14:paraId="55B5D752" w14:textId="77777777" w:rsidR="005C7E7C" w:rsidRPr="00750B4B" w:rsidRDefault="005C7E7C" w:rsidP="006C7153">
            <w:pPr>
              <w:pStyle w:val="a3"/>
              <w:numPr>
                <w:ilvl w:val="0"/>
                <w:numId w:val="9"/>
              </w:numPr>
              <w:tabs>
                <w:tab w:val="clear" w:pos="1069"/>
                <w:tab w:val="num" w:pos="643"/>
                <w:tab w:val="left" w:pos="2410"/>
              </w:tabs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Тарантей, В. П. Педагогика спорта и спорт в педагогике. </w:t>
            </w:r>
            <w:r w:rsidR="0000601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Рец. на кн.: Nowo</w:t>
            </w:r>
            <w:r w:rsidR="00006014">
              <w:rPr>
                <w:rFonts w:ascii="Times New Roman" w:eastAsia="Calibri" w:hAnsi="Times New Roman" w:cs="Times New Roman"/>
                <w:sz w:val="24"/>
                <w:szCs w:val="24"/>
              </w:rPr>
              <w:t>cien, J. Pedagogika sportu / J. 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Nowocien. </w:t>
            </w:r>
            <w:r w:rsidR="0000601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Warszawa : Wyd-wo AWF, 2019. – 244 s. / В. П. Тарантей // Веснік ГрДУ імя Янкі Купалы. Сер. 3, Філалогія. Педагогіка.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Псіхалогія. – 2020. – Т. 10, 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№ 1. – С. 170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171.</w:t>
            </w:r>
          </w:p>
        </w:tc>
      </w:tr>
      <w:tr w:rsidR="0086315A" w:rsidRPr="00750B4B" w14:paraId="53AFD0F7" w14:textId="77777777" w:rsidTr="00D9055B">
        <w:tc>
          <w:tcPr>
            <w:tcW w:w="851" w:type="dxa"/>
          </w:tcPr>
          <w:p w14:paraId="26D36BCE" w14:textId="77777777" w:rsidR="0086315A" w:rsidRPr="00750B4B" w:rsidRDefault="006C7153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7DB76C9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Белокоз Е.И.</w:t>
            </w:r>
          </w:p>
        </w:tc>
        <w:tc>
          <w:tcPr>
            <w:tcW w:w="1800" w:type="dxa"/>
          </w:tcPr>
          <w:p w14:paraId="5968B24B" w14:textId="77777777" w:rsidR="0086315A" w:rsidRPr="00750B4B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9" w:type="dxa"/>
          </w:tcPr>
          <w:p w14:paraId="208CC6B5" w14:textId="77777777" w:rsidR="0086315A" w:rsidRPr="00750B4B" w:rsidRDefault="0086315A" w:rsidP="006C7153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Белакоз,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Стратэгія інтэрнацыяналізацыі ўніверсітэта: кітайкі вектар / І.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Кітурка, А. Белакоз, Ю.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Бялых, Л.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Серада // Вышэйшая школа. 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2019. 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 6. 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 45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</w:tr>
      <w:tr w:rsidR="0086315A" w:rsidRPr="00750B4B" w14:paraId="1DF60EFB" w14:textId="77777777" w:rsidTr="00D9055B">
        <w:tc>
          <w:tcPr>
            <w:tcW w:w="851" w:type="dxa"/>
          </w:tcPr>
          <w:p w14:paraId="1AF06AF3" w14:textId="77777777" w:rsidR="0086315A" w:rsidRPr="00750B4B" w:rsidRDefault="006C7153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443B03E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Борисюк О.Л.</w:t>
            </w:r>
          </w:p>
        </w:tc>
        <w:tc>
          <w:tcPr>
            <w:tcW w:w="1800" w:type="dxa"/>
          </w:tcPr>
          <w:p w14:paraId="03CCE456" w14:textId="77777777" w:rsidR="0086315A" w:rsidRPr="00750B4B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9" w:type="dxa"/>
          </w:tcPr>
          <w:p w14:paraId="6660785A" w14:textId="77777777" w:rsidR="0086315A" w:rsidRPr="00750B4B" w:rsidRDefault="0086315A" w:rsidP="006C7153">
            <w:pPr>
              <w:pStyle w:val="a3"/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Борисюк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Л. Опережающее развитие в эпоху трансформации цифровых технологий / О.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Л. Борисюк // Университет – территория опережающего развития : сб. науч. ст., посвящ. 80-летию ГрГУ им. Янки Купалы / Гродненский гос. ун-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>т им. Янки Купалы ; гл. ред. Ю. Я. 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Ром</w:t>
            </w:r>
            <w:r w:rsidR="006C7153">
              <w:rPr>
                <w:rFonts w:ascii="Times New Roman" w:eastAsia="Calibri" w:hAnsi="Times New Roman" w:cs="Times New Roman"/>
                <w:sz w:val="24"/>
                <w:szCs w:val="24"/>
              </w:rPr>
              <w:t>ановский ; редкол.: В. Г. </w:t>
            </w: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Барсуков [и др.]. – Гродно : ГрГУ им. Янки Купалы, 2020. – С. 14 –16.</w:t>
            </w:r>
            <w:r w:rsidRPr="00750B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15A" w:rsidRPr="00750B4B" w14:paraId="144B9054" w14:textId="77777777" w:rsidTr="00D9055B">
        <w:tc>
          <w:tcPr>
            <w:tcW w:w="851" w:type="dxa"/>
          </w:tcPr>
          <w:p w14:paraId="03A97773" w14:textId="77777777" w:rsidR="0086315A" w:rsidRPr="00750B4B" w:rsidRDefault="006C7153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758161A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А.Д.</w:t>
            </w:r>
          </w:p>
        </w:tc>
        <w:tc>
          <w:tcPr>
            <w:tcW w:w="1800" w:type="dxa"/>
          </w:tcPr>
          <w:p w14:paraId="29549413" w14:textId="77777777" w:rsidR="0086315A" w:rsidRPr="00750B4B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2CC17252" w14:textId="77777777" w:rsidR="0086315A" w:rsidRPr="0086315A" w:rsidRDefault="006C7153" w:rsidP="006C7153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Денисенко, А. Д. </w:t>
            </w:r>
            <w:hyperlink r:id="rId8" w:tgtFrame="_blank" w:history="1">
              <w:r w:rsidR="0086315A" w:rsidRPr="00750B4B">
                <w:rPr>
                  <w:rFonts w:ascii="Times New Roman" w:eastAsia="Calibri" w:hAnsi="Times New Roman" w:cs="Times New Roman"/>
                  <w:spacing w:val="-4"/>
                  <w:sz w:val="24"/>
                  <w:szCs w:val="24"/>
                </w:rPr>
                <w:t xml:space="preserve">Анализ основной нормативно-правовой базы Республики </w:t>
              </w:r>
              <w:r w:rsidR="0086315A" w:rsidRPr="00750B4B">
                <w:rPr>
                  <w:rFonts w:ascii="Times New Roman" w:eastAsia="Calibri" w:hAnsi="Times New Roman" w:cs="Times New Roman"/>
                  <w:spacing w:val="-4"/>
                  <w:sz w:val="24"/>
                  <w:szCs w:val="24"/>
                </w:rPr>
                <w:lastRenderedPageBreak/>
                <w:t>Беларусь в контексте воспитания студенческой молодежи (1991–2008 гг.)</w:t>
              </w:r>
            </w:hyperlink>
            <w:r w:rsidR="0086315A" w:rsidRPr="00750B4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 / А. Д. Денисенко // Веснік ГрДУ імя Янкі Купалы. Сер. 3, Філалогія. Педагогіка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. Псіхалогія. – 2020. – Т. 10,</w:t>
            </w:r>
            <w:r w:rsidR="0086315A" w:rsidRPr="00750B4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№ 3. – С. 107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–</w:t>
            </w:r>
            <w:r w:rsidR="0086315A" w:rsidRPr="00750B4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119.</w:t>
            </w:r>
          </w:p>
        </w:tc>
      </w:tr>
      <w:tr w:rsidR="0086315A" w:rsidRPr="00750B4B" w14:paraId="7E45081A" w14:textId="77777777" w:rsidTr="00D9055B">
        <w:tc>
          <w:tcPr>
            <w:tcW w:w="851" w:type="dxa"/>
          </w:tcPr>
          <w:p w14:paraId="31ECA681" w14:textId="77777777" w:rsidR="0086315A" w:rsidRPr="006C7153" w:rsidRDefault="006C7153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14:paraId="5EBC8159" w14:textId="77777777" w:rsidR="0086315A" w:rsidRPr="006C7153" w:rsidRDefault="0086315A" w:rsidP="000060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Капалыгина И.И.</w:t>
            </w:r>
          </w:p>
        </w:tc>
        <w:tc>
          <w:tcPr>
            <w:tcW w:w="1800" w:type="dxa"/>
          </w:tcPr>
          <w:p w14:paraId="00BB0F0C" w14:textId="77777777" w:rsidR="0086315A" w:rsidRPr="0086315A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9" w:type="dxa"/>
          </w:tcPr>
          <w:p w14:paraId="233CFF6D" w14:textId="77777777" w:rsidR="0086315A" w:rsidRPr="001A2915" w:rsidRDefault="0086315A" w:rsidP="00006014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540"/>
                <w:tab w:val="left" w:pos="1134"/>
                <w:tab w:val="left" w:pos="126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Капалыгина, И.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 Самоорганизация деятельности по подготовке курс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овой работы : учебн. пособ. / 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 Капалыгина, О.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М. 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Коломиец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Изд-во «Развитие образования», 2020. –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A2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 с.</w:t>
            </w:r>
          </w:p>
          <w:p w14:paraId="761FB7AF" w14:textId="77777777" w:rsidR="006C7153" w:rsidRPr="006C7153" w:rsidRDefault="0086315A" w:rsidP="006C7153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540"/>
                <w:tab w:val="left" w:pos="1134"/>
                <w:tab w:val="left" w:pos="1260"/>
              </w:tabs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Капалыгина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И. И. Повышение компетентности здоровьесбережения учащихся 5</w:t>
            </w:r>
            <w:r w:rsidRPr="00E96C8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noBreakHyphen/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классов в условиях соблюдения информационной безопасности 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 И. И. Капалыгина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// Перспективы науки и образования. 2020. 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6 (48). </w:t>
            </w:r>
            <w:r w:rsidR="006C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275</w:t>
            </w:r>
            <w:r w:rsidRPr="00E96C8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–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287. </w:t>
            </w:r>
          </w:p>
          <w:p w14:paraId="39D6BE08" w14:textId="77777777" w:rsidR="0086315A" w:rsidRPr="00750B4B" w:rsidRDefault="00274BD9" w:rsidP="00274BD9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540"/>
                <w:tab w:val="left" w:pos="1134"/>
                <w:tab w:val="left" w:pos="1260"/>
              </w:tabs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15A" w:rsidRPr="00750B4B">
              <w:rPr>
                <w:rFonts w:ascii="Times New Roman" w:hAnsi="Times New Roman" w:cs="Times New Roman"/>
                <w:sz w:val="24"/>
                <w:szCs w:val="24"/>
              </w:rPr>
              <w:t>Капалыгина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15A"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 И. И. Влияние музыкального искусства на безопасность и благополучие школьников /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15A"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И. Капалыгина // Известия Балтийской государственной академии рыбопромыслового флота: психолого-педагогические науки (теория и методика профессионального образования)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315A" w:rsidRPr="00750B4B">
              <w:rPr>
                <w:rFonts w:ascii="Times New Roman" w:hAnsi="Times New Roman" w:cs="Times New Roman"/>
                <w:sz w:val="24"/>
                <w:szCs w:val="24"/>
              </w:rPr>
              <w:t>од ред. Г.А. Бокаревой. – 2020. –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С. 54–63.</w:t>
            </w:r>
          </w:p>
        </w:tc>
      </w:tr>
      <w:tr w:rsidR="0086315A" w:rsidRPr="00750B4B" w14:paraId="112B771E" w14:textId="77777777" w:rsidTr="00D9055B">
        <w:tc>
          <w:tcPr>
            <w:tcW w:w="851" w:type="dxa"/>
          </w:tcPr>
          <w:p w14:paraId="3954CD6C" w14:textId="77777777" w:rsidR="0086315A" w:rsidRPr="006C7153" w:rsidRDefault="00274BD9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5598B5E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Лантух Т.В.</w:t>
            </w:r>
          </w:p>
        </w:tc>
        <w:tc>
          <w:tcPr>
            <w:tcW w:w="1800" w:type="dxa"/>
          </w:tcPr>
          <w:p w14:paraId="57445489" w14:textId="77777777" w:rsidR="0086315A" w:rsidRPr="0086315A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9" w:type="dxa"/>
          </w:tcPr>
          <w:p w14:paraId="736BFF3B" w14:textId="77777777" w:rsidR="0086315A" w:rsidRPr="00750B4B" w:rsidRDefault="0086315A" w:rsidP="00274BD9">
            <w:pPr>
              <w:tabs>
                <w:tab w:val="left" w:pos="993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Лантух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 Социальная адаптация детей младшего школьного возраста к условиям учреждения временного пребывания средством изотерапии / Т.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 Лантух // Актуальные научные исследования в современном мире // Переяслав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– 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2020. – Вып. 11(67), ч. 8 – С. 125–130.</w:t>
            </w:r>
            <w:r w:rsidRPr="00E9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6315A" w:rsidRPr="00750B4B" w14:paraId="51F8CA64" w14:textId="77777777" w:rsidTr="00D9055B">
        <w:tc>
          <w:tcPr>
            <w:tcW w:w="851" w:type="dxa"/>
          </w:tcPr>
          <w:p w14:paraId="4B8576F7" w14:textId="77777777" w:rsidR="0086315A" w:rsidRPr="00750B4B" w:rsidRDefault="00274BD9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A31BCFE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Салтыкова-Волкович</w:t>
            </w:r>
            <w:r w:rsidRPr="00E96C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М.В.</w:t>
            </w:r>
          </w:p>
        </w:tc>
        <w:tc>
          <w:tcPr>
            <w:tcW w:w="1800" w:type="dxa"/>
          </w:tcPr>
          <w:p w14:paraId="412C3F41" w14:textId="77777777" w:rsidR="0086315A" w:rsidRPr="00750B4B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5983786E" w14:textId="77777777" w:rsidR="0086315A" w:rsidRPr="00750B4B" w:rsidRDefault="0086315A" w:rsidP="0000601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Салтыкова-Волкович, М.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 Использование арт-терапевтических методик в подготовке педагогов-воспитателей учреждений дошкольного образования / М.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 Салтыкова-Волкович // Lector. – 2020. – №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1. – С. 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9–12.</w:t>
            </w:r>
          </w:p>
          <w:p w14:paraId="23AFE94E" w14:textId="77777777" w:rsidR="0086315A" w:rsidRPr="00750B4B" w:rsidRDefault="0086315A" w:rsidP="00006014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Салтыкова-Волкович, М.В. Педагогическая проблема имиджа преподавателя высшего учебного заведения / М.В. Салтыкова-Волкович, Е.А. Ковалева, Т.А. Тюфанова  // Lector. – 2020. – №1. – С. 1–8. </w:t>
            </w:r>
          </w:p>
          <w:p w14:paraId="2E962AE8" w14:textId="77777777" w:rsidR="0086315A" w:rsidRPr="00750B4B" w:rsidRDefault="0086315A" w:rsidP="00006014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Салтыкова-Волкович, М.В. «Моя малая Родина». Методические рекомендации по краеведению / М.В.Салтыкова-Волкович // Пачатковая </w:t>
            </w:r>
            <w:r w:rsidRPr="00750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школа. – 2020. – №7. – С. 43–49.</w:t>
            </w:r>
          </w:p>
        </w:tc>
      </w:tr>
      <w:tr w:rsidR="0086315A" w:rsidRPr="00750B4B" w14:paraId="69E6AD85" w14:textId="77777777" w:rsidTr="00D9055B">
        <w:tc>
          <w:tcPr>
            <w:tcW w:w="851" w:type="dxa"/>
          </w:tcPr>
          <w:p w14:paraId="50793C70" w14:textId="77777777" w:rsidR="0086315A" w:rsidRPr="00750B4B" w:rsidRDefault="00274BD9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14:paraId="561073EC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Тарантей Л.М.</w:t>
            </w:r>
          </w:p>
        </w:tc>
        <w:tc>
          <w:tcPr>
            <w:tcW w:w="1800" w:type="dxa"/>
          </w:tcPr>
          <w:p w14:paraId="503BF967" w14:textId="77777777" w:rsidR="0086315A" w:rsidRPr="00750B4B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27DBC800" w14:textId="77777777" w:rsidR="0086315A" w:rsidRPr="005C7E7C" w:rsidRDefault="0086315A" w:rsidP="00006014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785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Тарантей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,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 xml:space="preserve"> Л.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 xml:space="preserve">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М. Апробация модели развития готовности педагогов к формированию национальной идентичности обучающихся: теоретический конструкт / Л.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> М.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ar-SA"/>
              </w:rPr>
              <w:t xml:space="preserve">Тарантей //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Веснік Магілёỹскага дз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яржаỹнага ỹніверсітэта імя А.А.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Куляшова. – 2020. – № 2. – С. 42–49. </w:t>
            </w:r>
          </w:p>
          <w:p w14:paraId="35946AD6" w14:textId="77777777" w:rsidR="0086315A" w:rsidRPr="00750B4B" w:rsidRDefault="0086315A" w:rsidP="0000601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785"/>
              </w:tabs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>Тарантей</w:t>
            </w:r>
            <w:r w:rsidR="00274BD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</w:t>
            </w:r>
            <w:r w:rsidR="0027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Национальная идентичность педагога: структура, критерии, компоненты / Л.М. Тарантей // Народная асвета. – 2020. 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="0027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9. – С. 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–6.</w:t>
            </w:r>
          </w:p>
          <w:p w14:paraId="19D36E7C" w14:textId="77777777" w:rsidR="0086315A" w:rsidRPr="00274BD9" w:rsidRDefault="0086315A" w:rsidP="00006014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785"/>
              </w:tabs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Тарантей, В. П. Педагогика спорта и спорт в педагогике. </w:t>
            </w:r>
            <w:r w:rsidR="00274BD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Рец. на кн.: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Nowocien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Pedagogika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/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Nowocien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-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: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Wyd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AWF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2019. – 244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/ В. П. Тарантей // Веснік ГрДУ імя Янкі Купалы. Сер. 3, Філалогія. Педагогіка. Псіхалогія. – 2020. – Т. 10. – № 1. – С. 170–171.</w:t>
            </w:r>
          </w:p>
          <w:p w14:paraId="5F423D3F" w14:textId="77777777" w:rsidR="0086315A" w:rsidRPr="00750B4B" w:rsidRDefault="0086315A" w:rsidP="0000601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785"/>
              </w:tabs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Тарантей, Л.М. 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готовности педагогов к формированию национальной идентичности учащихся: организационно-педагогические условия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/ Л.М. Тарантей // Веснік  Брэсцкага універсітэта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 Серия 3. Фiлологiя. Педагогiка.  Псiхологiя. 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2020. – № 1. – 173–180.</w:t>
            </w:r>
          </w:p>
          <w:p w14:paraId="0B348E8E" w14:textId="77777777" w:rsidR="0086315A" w:rsidRPr="00750B4B" w:rsidRDefault="0086315A" w:rsidP="0000601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785"/>
              </w:tabs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Тарантей, Л.М. Теоретические проблемы доверия в процессе развития национальной идентичности педагога / Л.М. Тараней 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//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Веснік  Гродзенскага дзяржаỹнага універсітэта імя Янкі Купалы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 Серия 3. Филология. Педагогика.  Психология. 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2020. – № 2. – </w:t>
            </w:r>
            <w:r w:rsidRPr="00750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79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>–86.</w:t>
            </w:r>
          </w:p>
          <w:p w14:paraId="7A4D89F1" w14:textId="77777777" w:rsidR="0086315A" w:rsidRPr="00750B4B" w:rsidRDefault="0086315A" w:rsidP="0000601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785"/>
              </w:tabs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>Тарантей, Л.</w:t>
            </w:r>
            <w:r w:rsidR="0027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Факторы формирования национальной идентичности учащихся: современные аспекты / Л.М. Тарантей //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 xml:space="preserve">Веснік адукацыі. – 2020. – № 6. – </w:t>
            </w:r>
            <w:r w:rsidRPr="00750B4B">
              <w:rPr>
                <w:rFonts w:ascii="Times New Roman" w:hAnsi="Times New Roman" w:cs="Times New Roman"/>
                <w:sz w:val="24"/>
                <w:szCs w:val="24"/>
              </w:rPr>
              <w:br/>
              <w:t>С. 5–17.</w:t>
            </w:r>
          </w:p>
          <w:p w14:paraId="0BB1D0C6" w14:textId="77777777" w:rsidR="0086315A" w:rsidRPr="005C7E7C" w:rsidRDefault="0086315A" w:rsidP="00006014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785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Таранцей, Л.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Нарматыўнае прававое суправаджэнне працэсу фарміравання нацыянальнай ідэнтычнасці, якія навучаюцца: параўнальны аналіз  / Л.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Таранцей // Вестник Мозырьского государственного педагогического университета им. И.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Шамякина. </w:t>
            </w:r>
            <w:r w:rsidRPr="005C7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– 2020. – №. 1 (55) –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С. 83‒90.</w:t>
            </w:r>
          </w:p>
          <w:p w14:paraId="3FA2F6E6" w14:textId="77777777" w:rsidR="0086315A" w:rsidRPr="00750B4B" w:rsidRDefault="0086315A" w:rsidP="00006014">
            <w:pPr>
              <w:numPr>
                <w:ilvl w:val="0"/>
                <w:numId w:val="14"/>
              </w:numPr>
              <w:tabs>
                <w:tab w:val="left" w:pos="785"/>
                <w:tab w:val="left" w:pos="993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Tarantsei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 xml:space="preserve"> L.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 xml:space="preserve">M. Problem gotowości naucyzcili do ksytałtowania narodowej 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lastRenderedPageBreak/>
              <w:t>tożsamości ucyniów / L.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M.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 xml:space="preserve">Tarantsei // Czas na wychowanie IV: Potrzeby – Szanse – Bariery / red. </w:t>
            </w:r>
            <w:r w:rsidR="00274B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B. </w:t>
            </w:r>
            <w:r w:rsidRPr="005C7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Piątkowska. – Rodom, 2020. – S. 162–172.</w:t>
            </w:r>
          </w:p>
        </w:tc>
      </w:tr>
      <w:tr w:rsidR="0086315A" w:rsidRPr="00750B4B" w14:paraId="084E7540" w14:textId="77777777" w:rsidTr="00D9055B">
        <w:trPr>
          <w:trHeight w:val="4043"/>
        </w:trPr>
        <w:tc>
          <w:tcPr>
            <w:tcW w:w="851" w:type="dxa"/>
          </w:tcPr>
          <w:p w14:paraId="519BAA98" w14:textId="77777777" w:rsidR="0086315A" w:rsidRPr="00750B4B" w:rsidRDefault="00274BD9" w:rsidP="00006014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14:paraId="5BEC7CE8" w14:textId="77777777" w:rsidR="0086315A" w:rsidRPr="00750B4B" w:rsidRDefault="0086315A" w:rsidP="0000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B4B">
              <w:rPr>
                <w:rFonts w:ascii="Times New Roman" w:hAnsi="Times New Roman" w:cs="Times New Roman"/>
                <w:sz w:val="24"/>
                <w:szCs w:val="24"/>
              </w:rPr>
              <w:t>Хамылева, С. Р.</w:t>
            </w:r>
          </w:p>
        </w:tc>
        <w:tc>
          <w:tcPr>
            <w:tcW w:w="1800" w:type="dxa"/>
          </w:tcPr>
          <w:p w14:paraId="1A80BB82" w14:textId="77777777" w:rsidR="0086315A" w:rsidRPr="00750B4B" w:rsidRDefault="0086315A" w:rsidP="00006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57A61AEE" w14:textId="77777777" w:rsidR="0086315A" w:rsidRPr="0086315A" w:rsidRDefault="0086315A" w:rsidP="00006014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>Хамылева, С. Р. Развитие инклюзивной компетентности педагогов в системе повышения квалификации в зао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>чной (дистанционной) форме / С. </w:t>
            </w: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>Хамылева // Вестн. Гродн. гос. ун-та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– 2020. – 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74BD9"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4BD9"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>№ 2. – С. 102–109.</w:t>
            </w:r>
          </w:p>
          <w:p w14:paraId="1A63F8DA" w14:textId="77777777" w:rsidR="0086315A" w:rsidRPr="0086315A" w:rsidRDefault="0086315A" w:rsidP="00274BD9">
            <w:pPr>
              <w:pStyle w:val="a3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>Хамылева, С. Р. Трансформация представлений об инклюзивной готовности педагогов в исследованиях белорусских, российских и польских ученых / С. Р. Хамыл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 xml:space="preserve">ева // Вестн. Гродн. гос. ун-та. </w:t>
            </w: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– 2020. – 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74BD9"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27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4BD9" w:rsidRPr="0086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15A">
              <w:rPr>
                <w:rFonts w:ascii="Times New Roman" w:hAnsi="Times New Roman" w:cs="Times New Roman"/>
                <w:sz w:val="24"/>
                <w:szCs w:val="24"/>
              </w:rPr>
              <w:t>№ 1. – С. 119–123.</w:t>
            </w:r>
          </w:p>
        </w:tc>
      </w:tr>
    </w:tbl>
    <w:p w14:paraId="44F4D89D" w14:textId="77777777" w:rsidR="00274BD9" w:rsidRDefault="00274BD9" w:rsidP="00006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26DA01" w14:textId="77777777" w:rsidR="00853EA5" w:rsidRPr="00853EA5" w:rsidRDefault="00853EA5" w:rsidP="00006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академическом признании результатов научно-педагогической деятельности:</w:t>
      </w:r>
    </w:p>
    <w:p w14:paraId="1BA79F5F" w14:textId="7CB8634F" w:rsidR="00853EA5" w:rsidRDefault="001103E9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103E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Грамота Национального собрания Республики Беларусь, знак «За выдающееся образование Республики Беларусь», почетная медаль «100 лет славянскому движению в Беларуси» (2010 г.), юбилейная медаль «90 лет Вооруженным силам Беларуси», грамоты Министерства образования Республики Беларусь</w:t>
      </w:r>
      <w:r w:rsidR="00B6107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,</w:t>
      </w:r>
      <w:r w:rsidRPr="001103E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Управления образования Гродненского облисполкома, Почетная грамота Гродненского областного Совета депутатов, Почетная грамота Гродненского облисполкома, Диплом Белорусского общества «Знание», «Медаль Франциска Скорины» (2 ноября 2009 г.)</w:t>
      </w:r>
      <w:r w:rsidR="00AE448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14:paraId="4A2E7A34" w14:textId="77777777" w:rsid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48605403" w14:textId="234A15F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372F">
        <w:rPr>
          <w:rFonts w:ascii="Times New Roman" w:eastAsia="Calibri" w:hAnsi="Times New Roman" w:cs="Times New Roman"/>
          <w:b/>
          <w:bCs/>
          <w:sz w:val="28"/>
          <w:szCs w:val="28"/>
        </w:rPr>
        <w:t>Научные связи с отечественными организациями и международным научным сообществом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3283CAF0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1.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Белорусский государственный педагогический университет имени Максима Танка</w:t>
      </w:r>
    </w:p>
    <w:p w14:paraId="050D167C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2.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Гомельский государственный университет имени Франциска Скорины</w:t>
      </w:r>
    </w:p>
    <w:p w14:paraId="6224367C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3.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Казахский агротехнический исследовательский университет имени Сакена Сейфуллина (Республика Казахстан)</w:t>
      </w:r>
    </w:p>
    <w:p w14:paraId="224B3008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4.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Казахский национальный педагогический университет имени Абая (Республика Казахстан)</w:t>
      </w:r>
    </w:p>
    <w:p w14:paraId="397E557C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5.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Кокандский государственный педагогический институт имени Мукими (Республика Узбекистан)</w:t>
      </w:r>
    </w:p>
    <w:p w14:paraId="3EA240D3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6.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Мозырский государственный педагогический университет имени И.П. Шамякина</w:t>
      </w:r>
    </w:p>
    <w:p w14:paraId="719DC321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7.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Московский государственный университет дружбы народов</w:t>
      </w:r>
    </w:p>
    <w:p w14:paraId="4C53B915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8.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Российская академия образования (РФ)</w:t>
      </w:r>
    </w:p>
    <w:p w14:paraId="42F02A47" w14:textId="77777777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lastRenderedPageBreak/>
        <w:t>9.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Ташкентский государственный педагогический университет имени Низами (Республика Узбекистан)</w:t>
      </w:r>
    </w:p>
    <w:p w14:paraId="16F1F136" w14:textId="347F6B4C" w:rsidR="0088372F" w:rsidRPr="0088372F" w:rsidRDefault="0088372F" w:rsidP="0088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72F">
        <w:rPr>
          <w:rFonts w:ascii="Times New Roman" w:eastAsia="Calibri" w:hAnsi="Times New Roman" w:cs="Times New Roman"/>
          <w:sz w:val="28"/>
          <w:szCs w:val="28"/>
        </w:rPr>
        <w:t>10.</w:t>
      </w:r>
      <w:r w:rsidRPr="0088372F">
        <w:rPr>
          <w:rFonts w:ascii="Times New Roman" w:eastAsia="Calibri" w:hAnsi="Times New Roman" w:cs="Times New Roman"/>
          <w:sz w:val="28"/>
          <w:szCs w:val="28"/>
        </w:rPr>
        <w:tab/>
        <w:t>Тульский государственный педагогический университет имени Л.Н.</w:t>
      </w:r>
      <w:r w:rsidR="00B61073">
        <w:rPr>
          <w:rFonts w:ascii="Times New Roman" w:eastAsia="Calibri" w:hAnsi="Times New Roman" w:cs="Times New Roman"/>
          <w:sz w:val="28"/>
          <w:szCs w:val="28"/>
        </w:rPr>
        <w:t> </w:t>
      </w:r>
      <w:r w:rsidRPr="0088372F">
        <w:rPr>
          <w:rFonts w:ascii="Times New Roman" w:eastAsia="Calibri" w:hAnsi="Times New Roman" w:cs="Times New Roman"/>
          <w:sz w:val="28"/>
          <w:szCs w:val="28"/>
        </w:rPr>
        <w:t>Толстого</w:t>
      </w:r>
    </w:p>
    <w:sectPr w:rsidR="0088372F" w:rsidRPr="0088372F" w:rsidSect="000060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8B1E" w14:textId="77777777" w:rsidR="001A74DD" w:rsidRDefault="001A74DD" w:rsidP="00853EA5">
      <w:pPr>
        <w:spacing w:after="0" w:line="240" w:lineRule="auto"/>
      </w:pPr>
      <w:r>
        <w:separator/>
      </w:r>
    </w:p>
  </w:endnote>
  <w:endnote w:type="continuationSeparator" w:id="0">
    <w:p w14:paraId="61CB4166" w14:textId="77777777" w:rsidR="001A74DD" w:rsidRDefault="001A74DD" w:rsidP="0085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_captio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03C8" w14:textId="77777777" w:rsidR="001A74DD" w:rsidRDefault="001A74DD" w:rsidP="00853EA5">
      <w:pPr>
        <w:spacing w:after="0" w:line="240" w:lineRule="auto"/>
      </w:pPr>
      <w:r>
        <w:separator/>
      </w:r>
    </w:p>
  </w:footnote>
  <w:footnote w:type="continuationSeparator" w:id="0">
    <w:p w14:paraId="0C3D2282" w14:textId="77777777" w:rsidR="001A74DD" w:rsidRDefault="001A74DD" w:rsidP="0085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Symbol" w:hAnsi="Symbol" w:cs="Symbol"/>
        <w:lang w:val="be-BY"/>
      </w:rPr>
    </w:lvl>
  </w:abstractNum>
  <w:abstractNum w:abstractNumId="1" w15:restartNumberingAfterBreak="0">
    <w:nsid w:val="00000021"/>
    <w:multiLevelType w:val="singleLevel"/>
    <w:tmpl w:val="000000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4"/>
        <w:szCs w:val="24"/>
        <w:shd w:val="clear" w:color="auto" w:fill="FFFFFF"/>
        <w:lang w:val="en-US"/>
      </w:rPr>
    </w:lvl>
  </w:abstractNum>
  <w:abstractNum w:abstractNumId="2" w15:restartNumberingAfterBreak="0">
    <w:nsid w:val="00000024"/>
    <w:multiLevelType w:val="singleLevel"/>
    <w:tmpl w:val="00000024"/>
    <w:name w:val="WW8Num38"/>
    <w:lvl w:ilvl="0">
      <w:start w:val="1"/>
      <w:numFmt w:val="decimal"/>
      <w:lvlText w:val="%1."/>
      <w:lvlJc w:val="left"/>
      <w:pPr>
        <w:tabs>
          <w:tab w:val="num" w:pos="775"/>
        </w:tabs>
        <w:ind w:left="1495" w:hanging="360"/>
      </w:pPr>
      <w:rPr>
        <w:rFonts w:ascii="Symbol" w:hAnsi="Symbol" w:cs="Symbol"/>
        <w:b/>
        <w:bCs/>
        <w:sz w:val="24"/>
        <w:szCs w:val="24"/>
        <w:lang w:val="en-US"/>
      </w:rPr>
    </w:lvl>
  </w:abstractNum>
  <w:abstractNum w:abstractNumId="3" w15:restartNumberingAfterBreak="0">
    <w:nsid w:val="0000002E"/>
    <w:multiLevelType w:val="singleLevel"/>
    <w:tmpl w:val="0000002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31"/>
    <w:multiLevelType w:val="singleLevel"/>
    <w:tmpl w:val="00000031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 w:val="0"/>
        <w:sz w:val="24"/>
        <w:szCs w:val="24"/>
        <w:lang w:val="ru-RU"/>
      </w:rPr>
    </w:lvl>
  </w:abstractNum>
  <w:abstractNum w:abstractNumId="5" w15:restartNumberingAfterBreak="0">
    <w:nsid w:val="00711DB0"/>
    <w:multiLevelType w:val="hybridMultilevel"/>
    <w:tmpl w:val="2042F786"/>
    <w:lvl w:ilvl="0" w:tplc="00000021">
      <w:start w:val="1"/>
      <w:numFmt w:val="decimal"/>
      <w:lvlText w:val="%1."/>
      <w:lvlJc w:val="left"/>
      <w:pPr>
        <w:tabs>
          <w:tab w:val="num" w:pos="1069"/>
        </w:tabs>
        <w:ind w:left="2498" w:hanging="360"/>
      </w:pPr>
      <w:rPr>
        <w:rFonts w:ascii="Symbol" w:hAnsi="Symbol" w:cs="Symbol"/>
        <w:sz w:val="24"/>
        <w:szCs w:val="24"/>
        <w:shd w:val="clear" w:color="auto" w:fill="FFFFFF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A5A004B"/>
    <w:multiLevelType w:val="hybridMultilevel"/>
    <w:tmpl w:val="AB7C5836"/>
    <w:lvl w:ilvl="0" w:tplc="13B68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B278D"/>
    <w:multiLevelType w:val="hybridMultilevel"/>
    <w:tmpl w:val="8AC65A20"/>
    <w:lvl w:ilvl="0" w:tplc="F256840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C5341"/>
    <w:multiLevelType w:val="hybridMultilevel"/>
    <w:tmpl w:val="5CD84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263E"/>
    <w:multiLevelType w:val="hybridMultilevel"/>
    <w:tmpl w:val="E0E8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31A0"/>
    <w:multiLevelType w:val="hybridMultilevel"/>
    <w:tmpl w:val="1BD06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11348"/>
    <w:multiLevelType w:val="hybridMultilevel"/>
    <w:tmpl w:val="E88CE52A"/>
    <w:lvl w:ilvl="0" w:tplc="0000001F">
      <w:start w:val="1"/>
      <w:numFmt w:val="decimal"/>
      <w:lvlText w:val="%1."/>
      <w:lvlJc w:val="left"/>
      <w:pPr>
        <w:ind w:left="1429" w:hanging="360"/>
      </w:pPr>
      <w:rPr>
        <w:rFonts w:ascii="Symbol" w:hAnsi="Symbol" w:cs="Symbol"/>
        <w:sz w:val="24"/>
        <w:szCs w:val="24"/>
        <w:shd w:val="clear" w:color="auto" w:fill="FFFFFF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953A55"/>
    <w:multiLevelType w:val="hybridMultilevel"/>
    <w:tmpl w:val="4A4A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008D0"/>
    <w:multiLevelType w:val="hybridMultilevel"/>
    <w:tmpl w:val="AAE80668"/>
    <w:lvl w:ilvl="0" w:tplc="00000021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  <w:sz w:val="24"/>
        <w:szCs w:val="24"/>
        <w:shd w:val="clear" w:color="auto" w:fill="FFFFFF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C517D"/>
    <w:multiLevelType w:val="hybridMultilevel"/>
    <w:tmpl w:val="EBF4B206"/>
    <w:lvl w:ilvl="0" w:tplc="00000021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sz w:val="24"/>
        <w:szCs w:val="24"/>
        <w:shd w:val="clear" w:color="auto" w:fill="FFFFFF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92239"/>
    <w:multiLevelType w:val="hybridMultilevel"/>
    <w:tmpl w:val="5F4ECE86"/>
    <w:lvl w:ilvl="0" w:tplc="00000021">
      <w:start w:val="1"/>
      <w:numFmt w:val="decimal"/>
      <w:lvlText w:val="%1."/>
      <w:lvlJc w:val="left"/>
      <w:pPr>
        <w:ind w:left="1429" w:hanging="360"/>
      </w:pPr>
      <w:rPr>
        <w:rFonts w:ascii="Symbol" w:hAnsi="Symbol" w:cs="Symbol"/>
        <w:sz w:val="24"/>
        <w:szCs w:val="24"/>
        <w:shd w:val="clear" w:color="auto" w:fill="FFFFFF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4200483">
    <w:abstractNumId w:val="12"/>
  </w:num>
  <w:num w:numId="2" w16cid:durableId="1755082415">
    <w:abstractNumId w:val="8"/>
  </w:num>
  <w:num w:numId="3" w16cid:durableId="99305086">
    <w:abstractNumId w:val="7"/>
  </w:num>
  <w:num w:numId="4" w16cid:durableId="1984112449">
    <w:abstractNumId w:val="4"/>
    <w:lvlOverride w:ilvl="0">
      <w:startOverride w:val="1"/>
    </w:lvlOverride>
  </w:num>
  <w:num w:numId="5" w16cid:durableId="958343934">
    <w:abstractNumId w:val="3"/>
    <w:lvlOverride w:ilvl="0">
      <w:startOverride w:val="1"/>
    </w:lvlOverride>
  </w:num>
  <w:num w:numId="6" w16cid:durableId="1624925114">
    <w:abstractNumId w:val="2"/>
    <w:lvlOverride w:ilvl="0">
      <w:startOverride w:val="1"/>
    </w:lvlOverride>
  </w:num>
  <w:num w:numId="7" w16cid:durableId="193858297">
    <w:abstractNumId w:val="0"/>
    <w:lvlOverride w:ilvl="0">
      <w:startOverride w:val="1"/>
    </w:lvlOverride>
  </w:num>
  <w:num w:numId="8" w16cid:durableId="83500249">
    <w:abstractNumId w:val="1"/>
  </w:num>
  <w:num w:numId="9" w16cid:durableId="1237938323">
    <w:abstractNumId w:val="5"/>
  </w:num>
  <w:num w:numId="10" w16cid:durableId="326982569">
    <w:abstractNumId w:val="9"/>
  </w:num>
  <w:num w:numId="11" w16cid:durableId="1877310025">
    <w:abstractNumId w:val="13"/>
  </w:num>
  <w:num w:numId="12" w16cid:durableId="211233038">
    <w:abstractNumId w:val="14"/>
  </w:num>
  <w:num w:numId="13" w16cid:durableId="202210651">
    <w:abstractNumId w:val="15"/>
  </w:num>
  <w:num w:numId="14" w16cid:durableId="789785793">
    <w:abstractNumId w:val="11"/>
  </w:num>
  <w:num w:numId="15" w16cid:durableId="1392540035">
    <w:abstractNumId w:val="6"/>
  </w:num>
  <w:num w:numId="16" w16cid:durableId="300502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E8E"/>
    <w:rsid w:val="00000635"/>
    <w:rsid w:val="00000952"/>
    <w:rsid w:val="00006014"/>
    <w:rsid w:val="00094314"/>
    <w:rsid w:val="00094F10"/>
    <w:rsid w:val="000E2299"/>
    <w:rsid w:val="001103E9"/>
    <w:rsid w:val="0014399B"/>
    <w:rsid w:val="001863CC"/>
    <w:rsid w:val="001A2915"/>
    <w:rsid w:val="001A74DD"/>
    <w:rsid w:val="00205DB1"/>
    <w:rsid w:val="00207005"/>
    <w:rsid w:val="00216C7C"/>
    <w:rsid w:val="00234BBE"/>
    <w:rsid w:val="00260B3E"/>
    <w:rsid w:val="00274BD9"/>
    <w:rsid w:val="00281693"/>
    <w:rsid w:val="002B0FC8"/>
    <w:rsid w:val="003045A4"/>
    <w:rsid w:val="003449A2"/>
    <w:rsid w:val="0037082A"/>
    <w:rsid w:val="0037302E"/>
    <w:rsid w:val="003A6F49"/>
    <w:rsid w:val="003A7138"/>
    <w:rsid w:val="003B1FA4"/>
    <w:rsid w:val="003B310D"/>
    <w:rsid w:val="003F5909"/>
    <w:rsid w:val="003F7595"/>
    <w:rsid w:val="00416E8E"/>
    <w:rsid w:val="00434510"/>
    <w:rsid w:val="00536C14"/>
    <w:rsid w:val="005413D0"/>
    <w:rsid w:val="0054781C"/>
    <w:rsid w:val="0056258F"/>
    <w:rsid w:val="005A10A5"/>
    <w:rsid w:val="005C7E7C"/>
    <w:rsid w:val="005E4179"/>
    <w:rsid w:val="005E65F4"/>
    <w:rsid w:val="006A1DA1"/>
    <w:rsid w:val="006A64BB"/>
    <w:rsid w:val="006C7153"/>
    <w:rsid w:val="0072390B"/>
    <w:rsid w:val="00723986"/>
    <w:rsid w:val="00750B4B"/>
    <w:rsid w:val="0075497C"/>
    <w:rsid w:val="0077453A"/>
    <w:rsid w:val="007C4312"/>
    <w:rsid w:val="007E1CD0"/>
    <w:rsid w:val="008025E6"/>
    <w:rsid w:val="00805C7D"/>
    <w:rsid w:val="0081307B"/>
    <w:rsid w:val="00853EA5"/>
    <w:rsid w:val="00856721"/>
    <w:rsid w:val="0086315A"/>
    <w:rsid w:val="00873263"/>
    <w:rsid w:val="00881C1C"/>
    <w:rsid w:val="0088372F"/>
    <w:rsid w:val="00895615"/>
    <w:rsid w:val="008D2379"/>
    <w:rsid w:val="008F474B"/>
    <w:rsid w:val="00915119"/>
    <w:rsid w:val="00970A1E"/>
    <w:rsid w:val="009A11CF"/>
    <w:rsid w:val="009E184E"/>
    <w:rsid w:val="00A0090B"/>
    <w:rsid w:val="00A00C7A"/>
    <w:rsid w:val="00A83433"/>
    <w:rsid w:val="00AE448A"/>
    <w:rsid w:val="00AE6F3C"/>
    <w:rsid w:val="00AF65F0"/>
    <w:rsid w:val="00B05AA1"/>
    <w:rsid w:val="00B17A9D"/>
    <w:rsid w:val="00B61073"/>
    <w:rsid w:val="00B643A0"/>
    <w:rsid w:val="00B749BB"/>
    <w:rsid w:val="00B93600"/>
    <w:rsid w:val="00BE6F46"/>
    <w:rsid w:val="00C21BCE"/>
    <w:rsid w:val="00C62F63"/>
    <w:rsid w:val="00CA28B1"/>
    <w:rsid w:val="00CB2672"/>
    <w:rsid w:val="00D04627"/>
    <w:rsid w:val="00D247AB"/>
    <w:rsid w:val="00D9055B"/>
    <w:rsid w:val="00D922B2"/>
    <w:rsid w:val="00D92D8A"/>
    <w:rsid w:val="00D973F9"/>
    <w:rsid w:val="00DD7C5E"/>
    <w:rsid w:val="00DF3ED6"/>
    <w:rsid w:val="00DF793A"/>
    <w:rsid w:val="00E12402"/>
    <w:rsid w:val="00E2040B"/>
    <w:rsid w:val="00E244FD"/>
    <w:rsid w:val="00E25B64"/>
    <w:rsid w:val="00E425F8"/>
    <w:rsid w:val="00E73DC4"/>
    <w:rsid w:val="00E93562"/>
    <w:rsid w:val="00E96C8F"/>
    <w:rsid w:val="00EC0DC2"/>
    <w:rsid w:val="00ED51BF"/>
    <w:rsid w:val="00F44B43"/>
    <w:rsid w:val="00F811EB"/>
    <w:rsid w:val="00F9301F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AD66"/>
  <w15:docId w15:val="{5E1C5DD5-6BCA-45A5-B292-374945E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6E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497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53EA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3EA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53EA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51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2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grsu.by/doc/640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214C-42E3-48D0-91D9-2CB720EC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Филон НАТАЛЬЯ ВИКТОРОВНА</cp:lastModifiedBy>
  <cp:revision>11</cp:revision>
  <cp:lastPrinted>2020-11-25T08:59:00Z</cp:lastPrinted>
  <dcterms:created xsi:type="dcterms:W3CDTF">2025-06-03T11:40:00Z</dcterms:created>
  <dcterms:modified xsi:type="dcterms:W3CDTF">2026-02-09T09:17:00Z</dcterms:modified>
</cp:coreProperties>
</file>